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64687">
      <w:pPr>
        <w:pStyle w:val="3"/>
        <w:bidi w:val="0"/>
        <w:jc w:val="left"/>
        <w:rPr>
          <w:rFonts w:hint="eastAsia" w:ascii="仿宋" w:hAnsi="仿宋" w:eastAsia="仿宋" w:cs="仿宋"/>
          <w:lang w:val="en-US" w:eastAsia="zh-CN"/>
        </w:rPr>
      </w:pPr>
      <w:r>
        <w:rPr>
          <w:rFonts w:hint="eastAsia" w:ascii="仿宋" w:hAnsi="仿宋" w:eastAsia="仿宋" w:cs="仿宋"/>
          <w:lang w:val="en-US" w:eastAsia="zh-CN"/>
        </w:rPr>
        <w:t>附件1：</w:t>
      </w:r>
    </w:p>
    <w:p w14:paraId="005CA349">
      <w:pPr>
        <w:rPr>
          <w:rFonts w:hint="eastAsia" w:ascii="仿宋" w:hAnsi="仿宋" w:eastAsia="仿宋" w:cs="仿宋"/>
          <w:lang w:val="en-US" w:eastAsia="zh-CN"/>
        </w:rPr>
      </w:pPr>
    </w:p>
    <w:p w14:paraId="2EEDB154">
      <w:pPr>
        <w:jc w:val="center"/>
        <w:rPr>
          <w:rFonts w:hint="eastAsia" w:ascii="仿宋" w:hAnsi="仿宋" w:eastAsia="仿宋" w:cs="仿宋"/>
          <w:b/>
          <w:bCs w:val="0"/>
          <w:color w:val="auto"/>
          <w:kern w:val="2"/>
          <w:sz w:val="44"/>
          <w:szCs w:val="44"/>
          <w:lang w:val="en-US" w:eastAsia="zh-CN" w:bidi="ar-SA"/>
        </w:rPr>
      </w:pPr>
      <w:r>
        <w:rPr>
          <w:rFonts w:hint="eastAsia" w:ascii="仿宋" w:hAnsi="仿宋" w:eastAsia="仿宋" w:cs="仿宋"/>
          <w:b/>
          <w:bCs w:val="0"/>
          <w:color w:val="auto"/>
          <w:kern w:val="2"/>
          <w:sz w:val="44"/>
          <w:szCs w:val="44"/>
          <w:lang w:val="en-US" w:eastAsia="zh-CN" w:bidi="ar-SA"/>
        </w:rPr>
        <w:t>评审办法</w:t>
      </w:r>
    </w:p>
    <w:tbl>
      <w:tblPr>
        <w:tblStyle w:val="12"/>
        <w:tblW w:w="100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4"/>
        <w:gridCol w:w="1827"/>
        <w:gridCol w:w="6940"/>
      </w:tblGrid>
      <w:tr w14:paraId="34A79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7A4B01FE">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条款号</w:t>
            </w:r>
          </w:p>
        </w:tc>
        <w:tc>
          <w:tcPr>
            <w:tcW w:w="1827" w:type="dxa"/>
            <w:noWrap w:val="0"/>
            <w:vAlign w:val="center"/>
          </w:tcPr>
          <w:p w14:paraId="5947C6A8">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条款内容</w:t>
            </w:r>
          </w:p>
        </w:tc>
        <w:tc>
          <w:tcPr>
            <w:tcW w:w="6940" w:type="dxa"/>
            <w:noWrap w:val="0"/>
            <w:vAlign w:val="center"/>
          </w:tcPr>
          <w:p w14:paraId="6BA3217B">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kern w:val="0"/>
                <w:sz w:val="28"/>
                <w:szCs w:val="28"/>
                <w:highlight w:val="none"/>
              </w:rPr>
            </w:pPr>
            <w:r>
              <w:rPr>
                <w:rFonts w:hint="eastAsia" w:ascii="仿宋" w:hAnsi="仿宋" w:eastAsia="仿宋" w:cs="仿宋"/>
                <w:b/>
                <w:color w:val="auto"/>
                <w:sz w:val="28"/>
                <w:szCs w:val="28"/>
                <w:highlight w:val="none"/>
              </w:rPr>
              <w:t>编列内容</w:t>
            </w:r>
          </w:p>
        </w:tc>
      </w:tr>
      <w:tr w14:paraId="3A033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78839F3D">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sz w:val="28"/>
                <w:szCs w:val="28"/>
                <w:highlight w:val="none"/>
                <w:lang w:val="en-US" w:eastAsia="zh-CN"/>
              </w:rPr>
              <w:t>1</w:t>
            </w:r>
          </w:p>
        </w:tc>
        <w:tc>
          <w:tcPr>
            <w:tcW w:w="1827" w:type="dxa"/>
            <w:noWrap w:val="0"/>
            <w:vAlign w:val="center"/>
          </w:tcPr>
          <w:p w14:paraId="01AA8C7E">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分值构成</w:t>
            </w:r>
          </w:p>
          <w:p w14:paraId="557F1CB0">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（总分100分）</w:t>
            </w:r>
          </w:p>
        </w:tc>
        <w:tc>
          <w:tcPr>
            <w:tcW w:w="6940" w:type="dxa"/>
            <w:noWrap w:val="0"/>
            <w:vAlign w:val="center"/>
          </w:tcPr>
          <w:p w14:paraId="3FF23EA3">
            <w:pPr>
              <w:keepNext w:val="0"/>
              <w:keepLines w:val="0"/>
              <w:pageBreakBefore w:val="0"/>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商务部分：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4927769F">
            <w:pPr>
              <w:keepNext w:val="0"/>
              <w:keepLines w:val="0"/>
              <w:pageBreakBefore w:val="0"/>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技术部分：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55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222EE4D4">
            <w:pPr>
              <w:keepNext w:val="0"/>
              <w:keepLines w:val="0"/>
              <w:pageBreakBefore w:val="0"/>
              <w:widowControl/>
              <w:kinsoku/>
              <w:wordWrap/>
              <w:overflowPunct/>
              <w:topLinePunct w:val="0"/>
              <w:autoSpaceDE/>
              <w:autoSpaceDN/>
              <w:bidi w:val="0"/>
              <w:snapToGrid w:val="0"/>
              <w:spacing w:line="360" w:lineRule="auto"/>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响应报价：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u w:val="single"/>
              </w:rPr>
              <w:t xml:space="preserve">0  </w:t>
            </w:r>
            <w:r>
              <w:rPr>
                <w:rFonts w:hint="eastAsia" w:ascii="仿宋" w:hAnsi="仿宋" w:eastAsia="仿宋" w:cs="仿宋"/>
                <w:color w:val="auto"/>
                <w:sz w:val="28"/>
                <w:szCs w:val="28"/>
                <w:highlight w:val="none"/>
              </w:rPr>
              <w:t>分</w:t>
            </w:r>
          </w:p>
        </w:tc>
      </w:tr>
      <w:tr w14:paraId="71D8A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55B7397B">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条款号</w:t>
            </w:r>
          </w:p>
        </w:tc>
        <w:tc>
          <w:tcPr>
            <w:tcW w:w="1827" w:type="dxa"/>
            <w:noWrap w:val="0"/>
            <w:vAlign w:val="center"/>
          </w:tcPr>
          <w:p w14:paraId="4A385A10">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评分因素</w:t>
            </w:r>
          </w:p>
        </w:tc>
        <w:tc>
          <w:tcPr>
            <w:tcW w:w="6940" w:type="dxa"/>
            <w:noWrap w:val="0"/>
            <w:vAlign w:val="center"/>
          </w:tcPr>
          <w:p w14:paraId="15277AB1">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kern w:val="0"/>
                <w:sz w:val="28"/>
                <w:szCs w:val="28"/>
                <w:highlight w:val="none"/>
              </w:rPr>
            </w:pPr>
            <w:r>
              <w:rPr>
                <w:rFonts w:hint="eastAsia" w:ascii="仿宋" w:hAnsi="仿宋" w:eastAsia="仿宋" w:cs="仿宋"/>
                <w:b/>
                <w:color w:val="auto"/>
                <w:sz w:val="28"/>
                <w:szCs w:val="28"/>
                <w:highlight w:val="none"/>
              </w:rPr>
              <w:t>评分标准</w:t>
            </w:r>
          </w:p>
        </w:tc>
      </w:tr>
      <w:tr w14:paraId="2A649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4" w:hRule="atLeast"/>
          <w:jc w:val="center"/>
        </w:trPr>
        <w:tc>
          <w:tcPr>
            <w:tcW w:w="1264" w:type="dxa"/>
            <w:noWrap w:val="0"/>
            <w:vAlign w:val="center"/>
          </w:tcPr>
          <w:p w14:paraId="54A674E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商务部分（</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tc>
        <w:tc>
          <w:tcPr>
            <w:tcW w:w="1827" w:type="dxa"/>
            <w:noWrap w:val="0"/>
            <w:vAlign w:val="center"/>
          </w:tcPr>
          <w:p w14:paraId="06B1AFB5">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供应商业绩（15分）</w:t>
            </w:r>
          </w:p>
        </w:tc>
        <w:tc>
          <w:tcPr>
            <w:tcW w:w="6940" w:type="dxa"/>
            <w:noWrap w:val="0"/>
            <w:vAlign w:val="center"/>
          </w:tcPr>
          <w:p w14:paraId="543A8C5A">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2023年1月1日以来（日期以合同签订时间为准），供应商具备同类业务(福利提货券项目)服务业绩的，提供业绩合同，每有一份业绩合同加5分，3个及以上得满分15分。</w:t>
            </w:r>
          </w:p>
          <w:p w14:paraId="1F2EA03B">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注：响应文件中须提供业绩合同，扫描件应能辨识买卖双方公章或合同专用章、标的信息；如业绩合同不能体现以上全部内容，可提供业绩合同甲方盖公章的证明扫描件。否则，不得分。供应商与其关联公司(单位负责人为同一人或者存在直接控股、管理关系的不同供应商)之间签订的合同，均不予认可。</w:t>
            </w:r>
          </w:p>
        </w:tc>
      </w:tr>
      <w:tr w14:paraId="3A0E3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restart"/>
            <w:noWrap w:val="0"/>
            <w:vAlign w:val="center"/>
          </w:tcPr>
          <w:p w14:paraId="7AD1D4B7">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技术部分（</w:t>
            </w:r>
            <w:r>
              <w:rPr>
                <w:rFonts w:hint="eastAsia" w:ascii="仿宋" w:hAnsi="仿宋" w:eastAsia="仿宋" w:cs="仿宋"/>
                <w:color w:val="auto"/>
                <w:kern w:val="0"/>
                <w:sz w:val="28"/>
                <w:szCs w:val="28"/>
                <w:highlight w:val="none"/>
                <w:lang w:val="en-US" w:eastAsia="zh-CN"/>
              </w:rPr>
              <w:t>55</w:t>
            </w:r>
            <w:r>
              <w:rPr>
                <w:rFonts w:hint="eastAsia" w:ascii="仿宋" w:hAnsi="仿宋" w:eastAsia="仿宋" w:cs="仿宋"/>
                <w:color w:val="auto"/>
                <w:kern w:val="0"/>
                <w:sz w:val="28"/>
                <w:szCs w:val="28"/>
                <w:highlight w:val="none"/>
              </w:rPr>
              <w:t>分）</w:t>
            </w:r>
          </w:p>
        </w:tc>
        <w:tc>
          <w:tcPr>
            <w:tcW w:w="1827" w:type="dxa"/>
            <w:noWrap w:val="0"/>
            <w:vAlign w:val="top"/>
          </w:tcPr>
          <w:p w14:paraId="0D1CB7E2">
            <w:pPr>
              <w:kinsoku w:val="0"/>
              <w:autoSpaceDE w:val="0"/>
              <w:autoSpaceDN w:val="0"/>
              <w:adjustRightInd w:val="0"/>
              <w:snapToGrid w:val="0"/>
              <w:spacing w:before="210" w:line="223" w:lineRule="auto"/>
              <w:ind w:right="100"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市场的知名度（10分）</w:t>
            </w:r>
          </w:p>
        </w:tc>
        <w:tc>
          <w:tcPr>
            <w:tcW w:w="6940" w:type="dxa"/>
            <w:noWrap w:val="0"/>
            <w:vAlign w:val="top"/>
          </w:tcPr>
          <w:p w14:paraId="63B94217">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根据供应商提供的资料，按照市场占有率、综合性价比由评审委员会横向比较，综合评审。本项0-10分，差或未提供的不得分。</w:t>
            </w:r>
          </w:p>
        </w:tc>
      </w:tr>
      <w:tr w14:paraId="732A7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7E86D894">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329F85FC">
            <w:pPr>
              <w:kinsoku w:val="0"/>
              <w:autoSpaceDE w:val="0"/>
              <w:autoSpaceDN w:val="0"/>
              <w:adjustRightInd w:val="0"/>
              <w:snapToGrid w:val="0"/>
              <w:spacing w:before="210" w:line="223" w:lineRule="auto"/>
              <w:ind w:right="100"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质量保证及服务的承诺（10分）</w:t>
            </w:r>
          </w:p>
        </w:tc>
        <w:tc>
          <w:tcPr>
            <w:tcW w:w="6940" w:type="dxa"/>
            <w:noWrap w:val="0"/>
            <w:vAlign w:val="top"/>
          </w:tcPr>
          <w:p w14:paraId="0BA69270">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评审委员会根据供应商质量保证和服务承诺具体条款由评审委员会横向比较，综合评审。本项0-10分，差或未提供不得分。</w:t>
            </w:r>
          </w:p>
        </w:tc>
      </w:tr>
      <w:tr w14:paraId="2FB47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4CB33E06">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469649AE">
            <w:pPr>
              <w:kinsoku w:val="0"/>
              <w:autoSpaceDE w:val="0"/>
              <w:autoSpaceDN w:val="0"/>
              <w:adjustRightInd w:val="0"/>
              <w:snapToGrid w:val="0"/>
              <w:spacing w:before="78" w:line="219" w:lineRule="auto"/>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提货便捷度及场所安全性（10分）</w:t>
            </w:r>
          </w:p>
        </w:tc>
        <w:tc>
          <w:tcPr>
            <w:tcW w:w="6940" w:type="dxa"/>
            <w:noWrap w:val="0"/>
            <w:vAlign w:val="top"/>
          </w:tcPr>
          <w:p w14:paraId="0B8069A4">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提供超市所在位置交通是否便利、出行是否方便、公交路线到达情况、停车是否方便等说明，购物场所符合国家消防安全规定等情况。由评审委员会横向比较，综合评审。本项0-10分，未提供不得分。</w:t>
            </w:r>
          </w:p>
        </w:tc>
      </w:tr>
      <w:tr w14:paraId="53F51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7F8D510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6FC2DBF3">
            <w:pPr>
              <w:kinsoku w:val="0"/>
              <w:autoSpaceDE w:val="0"/>
              <w:autoSpaceDN w:val="0"/>
              <w:adjustRightInd w:val="0"/>
              <w:snapToGrid w:val="0"/>
              <w:spacing w:before="78" w:line="237" w:lineRule="auto"/>
              <w:ind w:right="86"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售后服务方案（15分）</w:t>
            </w:r>
          </w:p>
        </w:tc>
        <w:tc>
          <w:tcPr>
            <w:tcW w:w="6940" w:type="dxa"/>
            <w:noWrap w:val="0"/>
            <w:vAlign w:val="top"/>
          </w:tcPr>
          <w:p w14:paraId="6EC5BB9D">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根据供应商提供的售后方案内容进行评分。根据方案内容详实合理性、针对性、技术人员配备全面程度，项目售后保障能力等，由评审委员会横向比较，综合评审。本项0-15分，差或未提供不得分。</w:t>
            </w:r>
          </w:p>
        </w:tc>
      </w:tr>
      <w:tr w14:paraId="2EDE5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9" w:hRule="atLeast"/>
          <w:jc w:val="center"/>
        </w:trPr>
        <w:tc>
          <w:tcPr>
            <w:tcW w:w="1264" w:type="dxa"/>
            <w:vMerge w:val="continue"/>
            <w:noWrap w:val="0"/>
            <w:vAlign w:val="center"/>
          </w:tcPr>
          <w:p w14:paraId="72D76E5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17C07AB0">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增值服务（10分）</w:t>
            </w:r>
          </w:p>
        </w:tc>
        <w:tc>
          <w:tcPr>
            <w:tcW w:w="6940" w:type="dxa"/>
            <w:noWrap w:val="0"/>
            <w:vAlign w:val="center"/>
          </w:tcPr>
          <w:p w14:paraId="7D95A930">
            <w:pPr>
              <w:keepNext w:val="0"/>
              <w:keepLines w:val="0"/>
              <w:pageBreakBefore w:val="0"/>
              <w:kinsoku/>
              <w:wordWrap/>
              <w:overflowPunct/>
              <w:topLinePunct w:val="0"/>
              <w:autoSpaceDE/>
              <w:autoSpaceDN/>
              <w:bidi w:val="0"/>
              <w:spacing w:line="360" w:lineRule="auto"/>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根据供应商提供的合同约定以外的其他增值服务或个性化服务情况</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eastAsia="zh-CN"/>
              </w:rPr>
              <w:t>评审委员会</w:t>
            </w:r>
            <w:r>
              <w:rPr>
                <w:rFonts w:hint="eastAsia" w:ascii="仿宋" w:hAnsi="仿宋" w:eastAsia="仿宋" w:cs="仿宋"/>
                <w:color w:val="auto"/>
                <w:sz w:val="28"/>
                <w:szCs w:val="28"/>
                <w:highlight w:val="none"/>
                <w:lang w:val="en-US" w:eastAsia="zh-CN"/>
              </w:rPr>
              <w:t>横向比较</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综合评审。本项0-10分</w:t>
            </w:r>
            <w:r>
              <w:rPr>
                <w:rFonts w:hint="eastAsia" w:ascii="仿宋" w:hAnsi="仿宋" w:eastAsia="仿宋" w:cs="仿宋"/>
                <w:color w:val="auto"/>
                <w:sz w:val="28"/>
                <w:szCs w:val="28"/>
                <w:highlight w:val="none"/>
              </w:rPr>
              <w:t>，差或未提供不得分。</w:t>
            </w:r>
          </w:p>
        </w:tc>
      </w:tr>
      <w:tr w14:paraId="178B5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26626DE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4.</w:t>
            </w:r>
            <w:r>
              <w:rPr>
                <w:rFonts w:hint="eastAsia" w:ascii="仿宋" w:hAnsi="仿宋" w:eastAsia="仿宋" w:cs="仿宋"/>
                <w:color w:val="auto"/>
                <w:kern w:val="0"/>
                <w:sz w:val="28"/>
                <w:szCs w:val="28"/>
                <w:highlight w:val="none"/>
              </w:rPr>
              <w:t>响应报价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0分）</w:t>
            </w:r>
          </w:p>
        </w:tc>
        <w:tc>
          <w:tcPr>
            <w:tcW w:w="1827" w:type="dxa"/>
            <w:noWrap w:val="0"/>
            <w:vAlign w:val="center"/>
          </w:tcPr>
          <w:p w14:paraId="1AFF942D">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响应报价得分计算（</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0分）</w:t>
            </w:r>
          </w:p>
        </w:tc>
        <w:tc>
          <w:tcPr>
            <w:tcW w:w="6940" w:type="dxa"/>
            <w:noWrap w:val="0"/>
            <w:vAlign w:val="center"/>
          </w:tcPr>
          <w:p w14:paraId="1DEEA114">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（1）响应报价超过最高限价的，响应文件无效；</w:t>
            </w:r>
          </w:p>
          <w:p w14:paraId="393B90F1">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（2）评审基准价=满足采购文件要求且最后报价最低的响应价格；</w:t>
            </w:r>
          </w:p>
          <w:p w14:paraId="664DD5AC">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（3）响应报价得分=(评审基准价/响应报价)×30。价格分保留两位小数。</w:t>
            </w:r>
            <w:r>
              <w:rPr>
                <w:rFonts w:hint="eastAsia" w:ascii="仿宋" w:hAnsi="仿宋" w:eastAsia="仿宋" w:cs="仿宋"/>
                <w:color w:val="0000FF"/>
                <w:kern w:val="0"/>
                <w:sz w:val="28"/>
                <w:szCs w:val="28"/>
                <w:highlight w:val="none"/>
                <w:lang w:val="en-US" w:eastAsia="zh-CN" w:bidi="ar-SA"/>
              </w:rPr>
              <w:t>报价分最低为20分。</w:t>
            </w:r>
          </w:p>
        </w:tc>
      </w:tr>
    </w:tbl>
    <w:p w14:paraId="5E671878">
      <w:pPr>
        <w:jc w:val="center"/>
        <w:rPr>
          <w:rFonts w:hint="eastAsia" w:ascii="仿宋" w:hAnsi="仿宋" w:eastAsia="仿宋" w:cs="仿宋"/>
          <w:b/>
          <w:bCs w:val="0"/>
          <w:color w:val="auto"/>
          <w:kern w:val="2"/>
          <w:sz w:val="44"/>
          <w:szCs w:val="44"/>
          <w:lang w:val="en-US" w:eastAsia="zh-CN" w:bidi="ar-SA"/>
        </w:rPr>
        <w:sectPr>
          <w:footerReference r:id="rId3" w:type="default"/>
          <w:pgSz w:w="11906" w:h="16838"/>
          <w:pgMar w:top="1440" w:right="1800" w:bottom="1440" w:left="1800" w:header="851" w:footer="992" w:gutter="0"/>
          <w:pgNumType w:fmt="decimal"/>
          <w:cols w:space="720" w:num="1"/>
          <w:docGrid w:type="lines" w:linePitch="312" w:charSpace="0"/>
        </w:sectPr>
      </w:pPr>
      <w:bookmarkStart w:id="0" w:name="_GoBack"/>
      <w:bookmarkEnd w:id="0"/>
    </w:p>
    <w:p w14:paraId="72317189"/>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0FF6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0B60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80B60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F5C59"/>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E303C"/>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CF5C59"/>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73CAD"/>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F122CF"/>
    <w:rsid w:val="78F5264F"/>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adjustRightInd/>
      <w:spacing w:beforeLines="0" w:afterLines="0" w:line="360" w:lineRule="auto"/>
      <w:jc w:val="center"/>
      <w:textAlignment w:val="auto"/>
      <w:outlineLvl w:val="0"/>
    </w:pPr>
    <w:rPr>
      <w:rFonts w:hint="default" w:ascii="Times New Roman" w:hAnsi="Times New Roman" w:eastAsia="宋体"/>
      <w:b/>
      <w:snapToGrid w:val="0"/>
      <w:sz w:val="36"/>
    </w:rPr>
  </w:style>
  <w:style w:type="paragraph" w:styleId="4">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2">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next w:val="1"/>
    <w:qFormat/>
    <w:uiPriority w:val="0"/>
    <w:pPr>
      <w:widowControl w:val="0"/>
      <w:jc w:val="both"/>
    </w:pPr>
    <w:rPr>
      <w:rFonts w:ascii="Times New Roman" w:hAnsi="Times New Roman" w:eastAsia="黑体" w:cs="Times New Roman"/>
      <w:kern w:val="2"/>
      <w:sz w:val="36"/>
      <w:szCs w:val="24"/>
      <w:lang w:val="en-US" w:eastAsia="zh-CN" w:bidi="ar-SA"/>
    </w:rPr>
  </w:style>
  <w:style w:type="paragraph" w:styleId="7">
    <w:name w:val="Date"/>
    <w:next w:val="1"/>
    <w:qFormat/>
    <w:uiPriority w:val="0"/>
    <w:pPr>
      <w:widowControl w:val="0"/>
      <w:adjustRightInd w:val="0"/>
      <w:spacing w:line="360" w:lineRule="atLeast"/>
      <w:jc w:val="both"/>
    </w:pPr>
    <w:rPr>
      <w:rFonts w:ascii="宋体" w:hAnsi="Times New Roman" w:eastAsia="宋体" w:cs="Times New Roman"/>
      <w:kern w:val="0"/>
      <w:sz w:val="24"/>
      <w:szCs w:val="20"/>
      <w:lang w:val="en-US" w:eastAsia="zh-CN" w:bidi="ar-SA"/>
    </w:rPr>
  </w:style>
  <w:style w:type="paragraph" w:styleId="8">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9">
    <w:name w:val="toc 6"/>
    <w:next w:val="1"/>
    <w:unhideWhenUsed/>
    <w:qFormat/>
    <w:uiPriority w:val="39"/>
    <w:pPr>
      <w:widowControl w:val="0"/>
      <w:ind w:left="1050"/>
      <w:jc w:val="left"/>
    </w:pPr>
    <w:rPr>
      <w:rFonts w:ascii="Calibri" w:hAnsi="Calibri" w:eastAsia="宋体" w:cs="Times New Roman"/>
      <w:kern w:val="2"/>
      <w:sz w:val="18"/>
      <w:szCs w:val="18"/>
      <w:lang w:val="en-US" w:eastAsia="zh-CN" w:bidi="ar-SA"/>
    </w:rPr>
  </w:style>
  <w:style w:type="paragraph" w:styleId="10">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11">
    <w:name w:val="Body Text First Indent"/>
    <w:qFormat/>
    <w:uiPriority w:val="0"/>
    <w:pPr>
      <w:widowControl w:val="0"/>
      <w:tabs>
        <w:tab w:val="left" w:pos="1418"/>
      </w:tabs>
      <w:autoSpaceDE w:val="0"/>
      <w:autoSpaceDN w:val="0"/>
      <w:adjustRightInd w:val="0"/>
      <w:spacing w:before="120" w:beforeLines="0" w:after="120" w:afterLines="0"/>
      <w:ind w:left="1418" w:hanging="567"/>
      <w:jc w:val="left"/>
    </w:pPr>
    <w:rPr>
      <w:rFonts w:ascii="Times New Roman" w:hAnsi="Times New Roman" w:eastAsia="PMingLiU" w:cs="Times New Roman"/>
      <w:kern w:val="2"/>
      <w:sz w:val="36"/>
      <w:szCs w:val="24"/>
      <w:lang w:val="en-US" w:eastAsia="zh-TW" w:bidi="ar-SA"/>
    </w:rPr>
  </w:style>
  <w:style w:type="table" w:styleId="13">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paragraph" w:customStyle="1" w:styleId="16">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17">
    <w:name w:val="正文文本首行缩进1"/>
    <w:next w:val="9"/>
    <w:qFormat/>
    <w:uiPriority w:val="0"/>
    <w:pPr>
      <w:widowControl/>
      <w:ind w:firstLine="420" w:firstLineChars="100"/>
      <w:jc w:val="left"/>
    </w:pPr>
    <w:rPr>
      <w:rFonts w:ascii="Times New Roman" w:hAnsi="Times New Roman" w:eastAsia="黑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2985</Words>
  <Characters>3186</Characters>
  <Lines>0</Lines>
  <Paragraphs>0</Paragraphs>
  <TotalTime>9</TotalTime>
  <ScaleCrop>false</ScaleCrop>
  <LinksUpToDate>false</LinksUpToDate>
  <CharactersWithSpaces>3796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2026-06-11T03:17:00Z</dcterms:created>
  <dc:creator>陈巧玉</dc:creator>
  <cp:lastModifiedBy>马大浪</cp:lastModifiedBy>
  <cp:lastPrinted>2026-06-11T03:42:00Z</cp:lastPrinted>
  <dcterms:modified xsi:type="dcterms:W3CDTF">2026-06-12T10:33:29Z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CC96FE107A4B43A99B7C60185DE4A5B7_13</vt:lpwstr>
  </property>
</Properties>
</file>